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Ekerö kommunfullmäktige</w:t>
      </w:r>
    </w:p>
    <w:p>
      <w:pPr>
        <w:pStyle w:val="Heading1"/>
      </w:pPr>
      <w:r>
        <w:t xml:space="preserve">Ökad lärartäthet i Ekerös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Trots goda meritvärden (Kolada 2024) har flera skolor i Ekerö, särskilt på öarna, svårt att rekrytera behöriga lärare. Mindre klasser och fler vuxna ger bättre kunskapsresultat och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förstärkning av lärartätheten med minst 0,5 lärare per 100 elever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rekryteringsbonus för behöriga lärare i skärgårdsskolor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plan för kompetensutveckling tas fram.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årligen i utbildningsnämnden.</w:t>
      </w:r>
    </w:p>
    <w:p>
      <w:pPr>
        <w:spacing w:before="360"/>
      </w:pPr>
    </w:p>
    <w:p>
      <w:r>
        <w:t xml:space="preserve">Ekerö,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2026-07-14T02:43:25.101Z</dcterms:created>
  <dcterms:modified xsi:type="dcterms:W3CDTF">2026-07-14T02:43:25.101Z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